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455"/>
          <w:tab w:val="center" w:pos="4995"/>
        </w:tabs>
        <w:spacing w:after="0"/>
      </w:pPr>
      <w:r>
        <w:tab/>
      </w:r>
      <w:r>
        <w:tab/>
      </w:r>
      <w:r>
        <w:t xml:space="preserve">                         </w:t>
      </w:r>
    </w:p>
    <w:p>
      <w:pPr>
        <w:tabs>
          <w:tab w:val="left" w:pos="4455"/>
          <w:tab w:val="center" w:pos="4995"/>
        </w:tabs>
        <w:spacing w:after="0"/>
      </w:pPr>
    </w:p>
    <w:p>
      <w:pPr>
        <w:tabs>
          <w:tab w:val="left" w:pos="4455"/>
          <w:tab w:val="center" w:pos="4995"/>
        </w:tabs>
        <w:spacing w:after="0"/>
        <w:rPr>
          <w:b/>
        </w:rPr>
      </w:pPr>
      <w:r>
        <w:t xml:space="preserve">                                                                    </w:t>
      </w:r>
    </w:p>
    <w:p>
      <w:pPr>
        <w:pStyle w:val="7"/>
        <w:spacing w:line="276" w:lineRule="auto"/>
        <w:jc w:val="center"/>
        <w:rPr>
          <w:b/>
          <w:bCs/>
        </w:rPr>
      </w:pPr>
      <w:r>
        <w:rPr>
          <w:b/>
          <w:bCs/>
        </w:rPr>
        <w:t>BIBLIOGRAFIE</w:t>
      </w:r>
    </w:p>
    <w:p>
      <w:pPr>
        <w:pStyle w:val="7"/>
        <w:spacing w:line="276" w:lineRule="auto"/>
        <w:jc w:val="center"/>
        <w:rPr>
          <w:b/>
          <w:bCs/>
        </w:rPr>
      </w:pPr>
      <w:r>
        <w:rPr>
          <w:b/>
          <w:bCs/>
        </w:rPr>
        <w:t>pentru concursul de ocupare a</w:t>
      </w:r>
      <w:r>
        <w:rPr>
          <w:rFonts w:hint="default"/>
          <w:b/>
          <w:bCs/>
          <w:lang w:val="ro-RO"/>
        </w:rPr>
        <w:t xml:space="preserve"> unui </w:t>
      </w:r>
      <w:r>
        <w:rPr>
          <w:b/>
          <w:bCs/>
        </w:rPr>
        <w:t xml:space="preserve"> </w:t>
      </w:r>
      <w:r>
        <w:rPr>
          <w:rFonts w:hint="default"/>
          <w:b/>
          <w:bCs/>
          <w:lang w:val="ro-RO"/>
        </w:rPr>
        <w:t xml:space="preserve">post vacant, pe durată nedeterminată </w:t>
      </w:r>
      <w:r>
        <w:rPr>
          <w:b/>
          <w:bCs/>
        </w:rPr>
        <w:t xml:space="preserve">de </w:t>
      </w:r>
    </w:p>
    <w:p>
      <w:pPr>
        <w:pStyle w:val="7"/>
        <w:spacing w:line="276" w:lineRule="auto"/>
        <w:jc w:val="center"/>
        <w:rPr>
          <w:rFonts w:hint="default"/>
          <w:b/>
          <w:bCs/>
          <w:lang w:val="ro-RO"/>
        </w:rPr>
      </w:pPr>
      <w:r>
        <w:rPr>
          <w:b/>
          <w:bCs/>
        </w:rPr>
        <w:t xml:space="preserve">ECONOMIST IA la </w:t>
      </w:r>
      <w:r>
        <w:rPr>
          <w:rFonts w:hint="default"/>
          <w:b/>
          <w:bCs/>
          <w:lang w:val="ro-RO"/>
        </w:rPr>
        <w:t xml:space="preserve"> </w:t>
      </w:r>
      <w:r>
        <w:rPr>
          <w:b/>
          <w:bCs/>
        </w:rPr>
        <w:t>SERVICIUL FINANCIAR</w:t>
      </w:r>
      <w:r>
        <w:rPr>
          <w:rFonts w:hint="default"/>
          <w:b/>
          <w:bCs/>
          <w:lang w:val="ro-RO"/>
        </w:rPr>
        <w:t>-</w:t>
      </w:r>
      <w:r>
        <w:rPr>
          <w:b/>
          <w:bCs/>
        </w:rPr>
        <w:t xml:space="preserve"> CONTABILITATE</w:t>
      </w:r>
      <w:r>
        <w:rPr>
          <w:rFonts w:hint="default"/>
          <w:b/>
          <w:bCs/>
          <w:lang w:val="ro-RO"/>
        </w:rPr>
        <w:t xml:space="preserve"> , organizat în perioada 07.09.2021-05.10.2021</w:t>
      </w:r>
    </w:p>
    <w:p>
      <w:pPr>
        <w:pStyle w:val="7"/>
        <w:jc w:val="both"/>
        <w:rPr>
          <w:b/>
          <w:bCs/>
        </w:rPr>
      </w:pPr>
    </w:p>
    <w:p>
      <w:pPr>
        <w:pStyle w:val="7"/>
        <w:jc w:val="both"/>
        <w:rPr>
          <w:b/>
          <w:bCs/>
        </w:rPr>
      </w:pPr>
    </w:p>
    <w:p>
      <w:pPr>
        <w:pStyle w:val="7"/>
        <w:jc w:val="both"/>
        <w:rPr>
          <w:b/>
        </w:rPr>
      </w:pPr>
    </w:p>
    <w:p>
      <w:pPr>
        <w:pStyle w:val="7"/>
        <w:spacing w:after="42"/>
        <w:jc w:val="both"/>
      </w:pPr>
      <w:r>
        <w:rPr>
          <w:b/>
        </w:rPr>
        <w:t>1.</w:t>
      </w:r>
      <w:r>
        <w:t xml:space="preserve"> Legea contabilității nr.82/1991,republicată cu modificările şi completările                                                                                                                                                                                                                                                                                                                              ulterioare; </w:t>
      </w:r>
    </w:p>
    <w:p>
      <w:pPr>
        <w:pStyle w:val="7"/>
        <w:spacing w:after="42"/>
        <w:jc w:val="both"/>
      </w:pPr>
      <w:r>
        <w:rPr>
          <w:b/>
        </w:rPr>
        <w:t>2.</w:t>
      </w:r>
      <w:r>
        <w:t xml:space="preserve"> Legea nr.500/2002 privind finanțele publice, cu modificările şi completările ulterioare; </w:t>
      </w:r>
    </w:p>
    <w:p>
      <w:pPr>
        <w:pStyle w:val="7"/>
        <w:spacing w:after="42"/>
        <w:jc w:val="both"/>
      </w:pPr>
      <w:r>
        <w:rPr>
          <w:b/>
        </w:rPr>
        <w:t>3.</w:t>
      </w:r>
      <w:r>
        <w:t xml:space="preserve"> Ordinul ministrului finanțelor publice nr.1792/2002 pentru aprobarea Normelor metodologice privind angajarea, lichidarea, ordonanțarea și plata cheltuielilor instituțiilor publice, precum și organizarea, evidența și raportarea angajamentelor bugetare și legale, cu modificările şi completările ulterioare; </w:t>
      </w:r>
    </w:p>
    <w:p>
      <w:pPr>
        <w:pStyle w:val="7"/>
        <w:jc w:val="both"/>
      </w:pPr>
      <w:r>
        <w:rPr>
          <w:b/>
        </w:rPr>
        <w:t>4.</w:t>
      </w:r>
      <w:r>
        <w:t xml:space="preserve"> Legea nr.95/2006, republicată privind reforma în domeniul sănătății,  cu modificările şi completările ulterioare; </w:t>
      </w:r>
    </w:p>
    <w:p>
      <w:pPr>
        <w:pStyle w:val="7"/>
        <w:jc w:val="both"/>
      </w:pPr>
      <w:r>
        <w:rPr>
          <w:b/>
        </w:rPr>
        <w:t>5.</w:t>
      </w:r>
      <w:r>
        <w:t xml:space="preserve"> Ordinul ministrului sănătății nr. 1043/2010 privind aprobarea Normelor metodologice pentru elaborarea bugetului de venituri și cheltuieli al spitalului public, cu modificările  şi completările ulterioare; </w:t>
      </w:r>
    </w:p>
    <w:p>
      <w:pPr>
        <w:pStyle w:val="7"/>
        <w:spacing w:after="36"/>
        <w:jc w:val="both"/>
      </w:pPr>
      <w:r>
        <w:rPr>
          <w:b/>
        </w:rPr>
        <w:t>6.</w:t>
      </w:r>
      <w:r>
        <w:t xml:space="preserve"> </w:t>
      </w:r>
      <w:r>
        <w:rPr>
          <w:rStyle w:val="11"/>
          <w:b w:val="0"/>
          <w:sz w:val="24"/>
          <w:szCs w:val="24"/>
        </w:rPr>
        <w:t>Ordinul ministrului finanţelor publice nr. 2634/2015 privind documentele financiar-contabile</w:t>
      </w:r>
      <w:r>
        <w:t xml:space="preserve">; </w:t>
      </w:r>
    </w:p>
    <w:p>
      <w:pPr>
        <w:pStyle w:val="7"/>
        <w:jc w:val="both"/>
      </w:pPr>
      <w:r>
        <w:rPr>
          <w:b/>
        </w:rPr>
        <w:t>7.</w:t>
      </w:r>
      <w:r>
        <w:t xml:space="preserve"> Ordinul ministrului finanțelor publice nr.1917/2005 pentru aprobarea Normelor metodologice privind organizarea și conducerea contabilității instituțiilor publice, Planul de conturi pentru instituțiile publice și instrucțiunile de aplicare a acestuia , cu modificările şi completările ulterioare; </w:t>
      </w:r>
    </w:p>
    <w:p>
      <w:pPr>
        <w:pStyle w:val="7"/>
        <w:jc w:val="both"/>
      </w:pPr>
      <w:r>
        <w:rPr>
          <w:b/>
        </w:rPr>
        <w:t>8.</w:t>
      </w:r>
      <w:r>
        <w:t xml:space="preserve"> Ordinul ministrului finanțelor publice nr.2861/2009 pentru aprobarea Normelor privind organizarea și efectuarea inventarierii elementelor de natura activelor, datoriilor și capitalurilor proprii; </w:t>
      </w:r>
    </w:p>
    <w:p>
      <w:pPr>
        <w:pStyle w:val="7"/>
        <w:jc w:val="both"/>
      </w:pPr>
      <w:r>
        <w:rPr>
          <w:b/>
        </w:rPr>
        <w:t>9.</w:t>
      </w:r>
      <w:r>
        <w:t xml:space="preserve"> Decretul Consiliului de Stat nr.209/1976 pentru aprobarea Regulamentului operațiilor de casa ale unităților socialiste (devenit Legea 32/1976); </w:t>
      </w:r>
    </w:p>
    <w:p>
      <w:pPr>
        <w:pStyle w:val="7"/>
        <w:jc w:val="both"/>
      </w:pPr>
      <w:r>
        <w:rPr>
          <w:b/>
        </w:rPr>
        <w:t>10.</w:t>
      </w:r>
      <w:r>
        <w:t xml:space="preserve"> Legea nr.15/1994 privind amortizarea capitalului imobilizat în active corporale și necorporale, republicată cu modificările ulterioare; </w:t>
      </w:r>
    </w:p>
    <w:p>
      <w:pPr>
        <w:pStyle w:val="7"/>
        <w:jc w:val="both"/>
      </w:pPr>
      <w:r>
        <w:rPr>
          <w:b/>
        </w:rPr>
        <w:t>11.</w:t>
      </w:r>
      <w:r>
        <w:t xml:space="preserve">H.G. nr.909/1997 pentru aprobarea Normelor metodologice de aplicare a Legii nr.15/1994 privind amortizarea capitalului imobilizat în active corporale și necorporale, modificată și completată prin Ordonanța Guvernului nr.54/1997, cu modificările ulterioare; </w:t>
      </w:r>
    </w:p>
    <w:p>
      <w:pPr>
        <w:pStyle w:val="7"/>
        <w:spacing w:after="40"/>
        <w:jc w:val="both"/>
      </w:pPr>
      <w:r>
        <w:rPr>
          <w:b/>
        </w:rPr>
        <w:t>12.</w:t>
      </w:r>
      <w:r>
        <w:t xml:space="preserve"> Legea nr.22/1969 privind angajarea gestionarilor, constituirea de garanții și răspunderea în legătură cu gestionarea bunurilor agenţilor economici, autorităţilor sau instituţiilor publice, cu modificările si completarile ulterioare; </w:t>
      </w:r>
    </w:p>
    <w:p>
      <w:pPr>
        <w:pStyle w:val="7"/>
        <w:jc w:val="both"/>
      </w:pPr>
      <w:r>
        <w:rPr>
          <w:b/>
        </w:rPr>
        <w:t>13.</w:t>
      </w:r>
      <w:r>
        <w:t xml:space="preserve"> Ordinul ministrului finanțelor  publice nr. 720/2014 pentru aprobarea Normelor metodologice privind execuția bugetelor de venituri și cheltuieli ale instituțiilor publice autonome, instituțiilor publice finanțate integral sau parțial din venituri proprii și activităților finanțate integral din venituri proprii, inclusiv a bugetelor creditelor interne, bugetelor creditelor externe, bugetelor fondurilor externe nerambursabile, bugetelor fondului de risc și bugetelor privind activitatea de privatizare, gestionate de instituțiile publice, indiferent de modalitatea de organizare și finanțare a acestora, cu modificările şi completările ulterioare; </w:t>
      </w:r>
    </w:p>
    <w:p>
      <w:pPr>
        <w:pStyle w:val="7"/>
        <w:jc w:val="both"/>
      </w:pPr>
      <w:r>
        <w:rPr>
          <w:b/>
        </w:rPr>
        <w:t xml:space="preserve">14. </w:t>
      </w:r>
      <w:r>
        <w:t xml:space="preserve">Ordinul ministrului finanțelor publice nr.1801/2020 pentru aprobarea componenței, a modelelor și a normelor metodologice de elaborare a rapoartelor privind situațiile financiare, a rapoartelor privind notele la situațiile financiare și alte rapoarte, anexe trimestriale și anuale generate de sistemul național de raportare FOREXEBUG; </w:t>
      </w:r>
    </w:p>
    <w:p>
      <w:pPr>
        <w:pStyle w:val="7"/>
        <w:jc w:val="both"/>
      </w:pPr>
      <w:r>
        <w:rPr>
          <w:b/>
          <w:bCs/>
        </w:rPr>
        <w:t xml:space="preserve">15. </w:t>
      </w:r>
      <w:r>
        <w:rPr>
          <w:bCs/>
        </w:rPr>
        <w:t>Ordinul nr. 1359/694/2021 privind aprobarea Normelor metodologice de aplicare în anul 2021 a Hotărârii Guvernului nr. 696/2021 pentru aprobarea pachetelor de servicii şi a Contractului-cadru care reglementează condiţiile acordării asistenţei medicale, a medicamentelor şi a dispozitivelor medicale în cadrul sistemului de asigurări sociale de sănătate pentru anii 2021-2022; </w:t>
      </w:r>
    </w:p>
    <w:p>
      <w:pPr>
        <w:pStyle w:val="7"/>
        <w:jc w:val="both"/>
      </w:pPr>
      <w:r>
        <w:rPr>
          <w:b/>
        </w:rPr>
        <w:t>16.</w:t>
      </w:r>
      <w:r>
        <w:t xml:space="preserve"> </w:t>
      </w:r>
      <w:r>
        <w:rPr>
          <w:bCs/>
        </w:rPr>
        <w:t>H.G. nr. 155/2017 privind aprobarea programelor naţionale de sănătate pentru anii 2017 şi 2018</w:t>
      </w:r>
      <w:r>
        <w:t xml:space="preserve"> , cu modificările  şi completările ulterioare ; </w:t>
      </w:r>
    </w:p>
    <w:p>
      <w:pPr>
        <w:pStyle w:val="7"/>
        <w:jc w:val="both"/>
        <w:rPr>
          <w:bCs/>
        </w:rPr>
      </w:pPr>
      <w:r>
        <w:rPr>
          <w:b/>
        </w:rPr>
        <w:t>17.</w:t>
      </w:r>
      <w:r>
        <w:rPr>
          <w:bCs/>
        </w:rPr>
        <w:t xml:space="preserve">Ordinul </w:t>
      </w:r>
      <w:r>
        <w:rPr>
          <w:rStyle w:val="12"/>
          <w:sz w:val="24"/>
          <w:szCs w:val="24"/>
        </w:rPr>
        <w:t xml:space="preserve">preşedintelui Casei Naţionale de Asigurări de Sănătate </w:t>
      </w:r>
      <w:r>
        <w:rPr>
          <w:bCs/>
        </w:rPr>
        <w:t>nr. 245/2017 pentru aprobarea Normelor tehnice de realizare a programelor naţionale de sănătate curative pentru anii 2017 şi 2018, cu modificările ulterioare;</w:t>
      </w:r>
    </w:p>
    <w:p>
      <w:pPr>
        <w:pStyle w:val="7"/>
        <w:jc w:val="both"/>
      </w:pPr>
      <w:r>
        <w:rPr>
          <w:b/>
          <w:bCs/>
        </w:rPr>
        <w:t>18.</w:t>
      </w:r>
      <w:r>
        <w:rPr>
          <w:bCs/>
        </w:rPr>
        <w:t xml:space="preserve"> Ordinul ministrului sănătăţii nr. 377/2017 privind aprobarea Normelor tehnice de realizare a programelor naţionale de sănătate publică pentru anii 2017 şi 2018, cu modificările ulterioare;</w:t>
      </w:r>
      <w:r>
        <w:rPr>
          <w:b/>
          <w:bCs/>
          <w:sz w:val="32"/>
          <w:szCs w:val="32"/>
        </w:rPr>
        <w:t xml:space="preserve">  </w:t>
      </w:r>
      <w:r>
        <w:rPr>
          <w:bCs/>
        </w:rPr>
        <w:t> </w:t>
      </w:r>
    </w:p>
    <w:p>
      <w:pPr>
        <w:pStyle w:val="7"/>
        <w:jc w:val="both"/>
      </w:pPr>
      <w:r>
        <w:rPr>
          <w:b/>
        </w:rPr>
        <w:t>19.</w:t>
      </w:r>
      <w:r>
        <w:t>Ordinul ministrului finanţelor publice nr.923/2014, republicata pentru aprobarea Normelor metodologice generale referitoare la exercitarea controlului financiar preventiv și a Codului specific de norme profesionale pentru persoanele care desfășoară activitatea de control financiar preventiv,  cu modificările si completările ulterioare.;</w:t>
      </w:r>
    </w:p>
    <w:p>
      <w:pPr>
        <w:pStyle w:val="7"/>
        <w:jc w:val="both"/>
      </w:pPr>
      <w:r>
        <w:rPr>
          <w:b/>
          <w:bCs/>
        </w:rPr>
        <w:t>20.</w:t>
      </w:r>
      <w:r>
        <w:t>Ordinul ministrului sănătății nr.1194/2012 privind stabilirea modalității de transmitere și raportare a execuției bugetului de venituri și cheltuieli în vederea monitorizării cheltuielilor spitalelor publice.</w:t>
      </w:r>
    </w:p>
    <w:p>
      <w:pPr>
        <w:pStyle w:val="7"/>
        <w:jc w:val="both"/>
        <w:rPr>
          <w:b/>
          <w:bCs/>
          <w:i/>
          <w:iCs/>
        </w:rPr>
      </w:pPr>
    </w:p>
    <w:p>
      <w:pPr>
        <w:pStyle w:val="7"/>
        <w:jc w:val="both"/>
        <w:rPr>
          <w:b/>
          <w:bCs/>
          <w:i/>
          <w:iCs/>
        </w:rPr>
      </w:pPr>
    </w:p>
    <w:p>
      <w:pPr>
        <w:pStyle w:val="7"/>
        <w:jc w:val="both"/>
        <w:rPr>
          <w:b/>
          <w:bCs/>
          <w:i/>
          <w:iCs/>
        </w:rPr>
      </w:pPr>
    </w:p>
    <w:p>
      <w:pPr>
        <w:jc w:val="center"/>
      </w:pPr>
    </w:p>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ascii="Arial" w:hAnsi="Arial" w:cs="Arial"/>
          <w:b/>
          <w:sz w:val="24"/>
          <w:szCs w:val="24"/>
        </w:rPr>
      </w:pPr>
      <w:r>
        <w:rPr>
          <w:rFonts w:ascii="Arial" w:hAnsi="Arial" w:cs="Arial"/>
          <w:b/>
          <w:sz w:val="24"/>
          <w:szCs w:val="24"/>
        </w:rPr>
        <w:t>Manager</w:t>
      </w:r>
    </w:p>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ascii="Arial" w:hAnsi="Arial" w:cs="Arial"/>
          <w:b/>
          <w:sz w:val="24"/>
          <w:szCs w:val="24"/>
        </w:rPr>
      </w:pPr>
      <w:r>
        <w:rPr>
          <w:rFonts w:ascii="Arial" w:hAnsi="Arial" w:cs="Arial"/>
          <w:b/>
          <w:sz w:val="24"/>
          <w:szCs w:val="24"/>
        </w:rPr>
        <w:t>Dr. Ovidiu Gîrbovan</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bookmarkStart w:id="0" w:name="_GoBack"/>
      <w:bookmarkEnd w:id="0"/>
    </w:p>
    <w:p>
      <w:pPr>
        <w:rPr>
          <w:rFonts w:ascii="Arial" w:hAnsi="Arial" w:cs="Arial"/>
          <w:sz w:val="24"/>
          <w:szCs w:val="24"/>
        </w:rPr>
      </w:pPr>
    </w:p>
    <w:p>
      <w:pPr>
        <w:rPr>
          <w:rFonts w:ascii="Arial" w:hAnsi="Arial" w:cs="Arial"/>
          <w:b/>
          <w:sz w:val="24"/>
          <w:szCs w:val="24"/>
        </w:rPr>
      </w:pPr>
    </w:p>
    <w:p>
      <w:pPr>
        <w:keepNext w:val="0"/>
        <w:keepLines w:val="0"/>
        <w:pageBreakBefore w:val="0"/>
        <w:widowControl/>
        <w:tabs>
          <w:tab w:val="left" w:pos="7065"/>
          <w:tab w:val="left" w:pos="8805"/>
        </w:tabs>
        <w:kinsoku/>
        <w:wordWrap/>
        <w:overflowPunct/>
        <w:topLinePunct w:val="0"/>
        <w:autoSpaceDE/>
        <w:autoSpaceDN/>
        <w:bidi w:val="0"/>
        <w:adjustRightInd/>
        <w:snapToGrid/>
        <w:spacing w:line="120" w:lineRule="auto"/>
        <w:textAlignment w:val="auto"/>
        <w:rPr>
          <w:rFonts w:ascii="Arial" w:hAnsi="Arial" w:cs="Arial"/>
          <w:sz w:val="20"/>
          <w:szCs w:val="20"/>
        </w:rPr>
      </w:pPr>
      <w:r>
        <w:rPr>
          <w:rFonts w:ascii="Arial" w:hAnsi="Arial" w:cs="Arial"/>
          <w:sz w:val="24"/>
          <w:szCs w:val="24"/>
        </w:rPr>
        <w:tab/>
      </w:r>
      <w:r>
        <w:rPr>
          <w:rFonts w:ascii="Arial" w:hAnsi="Arial" w:cs="Arial"/>
          <w:sz w:val="20"/>
          <w:szCs w:val="20"/>
        </w:rPr>
        <w:t xml:space="preserve">                     </w:t>
      </w:r>
      <w:r>
        <w:rPr>
          <w:rFonts w:hint="default" w:ascii="Arial" w:hAnsi="Arial" w:cs="Arial"/>
          <w:sz w:val="20"/>
          <w:szCs w:val="20"/>
          <w:lang w:val="ro-RO"/>
        </w:rPr>
        <w:t>Î</w:t>
      </w:r>
      <w:r>
        <w:rPr>
          <w:rFonts w:ascii="Arial" w:hAnsi="Arial" w:cs="Arial"/>
          <w:sz w:val="20"/>
          <w:szCs w:val="20"/>
        </w:rPr>
        <w:t>ntocmit,</w:t>
      </w:r>
    </w:p>
    <w:p>
      <w:pPr>
        <w:keepNext w:val="0"/>
        <w:keepLines w:val="0"/>
        <w:pageBreakBefore w:val="0"/>
        <w:widowControl/>
        <w:tabs>
          <w:tab w:val="left" w:pos="8805"/>
        </w:tabs>
        <w:kinsoku/>
        <w:wordWrap/>
        <w:overflowPunct/>
        <w:topLinePunct w:val="0"/>
        <w:autoSpaceDE/>
        <w:autoSpaceDN/>
        <w:bidi w:val="0"/>
        <w:adjustRightInd/>
        <w:snapToGrid/>
        <w:spacing w:line="120" w:lineRule="auto"/>
        <w:textAlignment w:val="auto"/>
        <w:rPr>
          <w:rFonts w:ascii="Arial" w:hAnsi="Arial" w:cs="Arial"/>
          <w:sz w:val="20"/>
          <w:szCs w:val="20"/>
        </w:rPr>
      </w:pPr>
      <w:r>
        <w:rPr>
          <w:rFonts w:ascii="Arial" w:hAnsi="Arial" w:cs="Arial"/>
          <w:sz w:val="20"/>
          <w:szCs w:val="20"/>
        </w:rPr>
        <w:t xml:space="preserve">                                                                                                                                                 Suteu Ibolya </w:t>
      </w:r>
    </w:p>
    <w:sectPr>
      <w:headerReference r:id="rId3" w:type="default"/>
      <w:footerReference r:id="rId4" w:type="default"/>
      <w:pgSz w:w="12240" w:h="15840"/>
      <w:pgMar w:top="990" w:right="1080" w:bottom="1440" w:left="1440" w:header="288" w:footer="28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thinThickSmallGap" w:color="622423" w:sz="24" w:space="0"/>
      </w:pBdr>
      <w:tabs>
        <w:tab w:val="center" w:pos="4680"/>
        <w:tab w:val="right" w:pos="9360"/>
      </w:tabs>
      <w:spacing w:after="0" w:line="240" w:lineRule="auto"/>
      <w:rPr>
        <w:rFonts w:ascii="Cambria" w:hAnsi="Cambria" w:eastAsia="SimSun"/>
      </w:rPr>
    </w:pPr>
    <w:r>
      <w:rPr>
        <w:rFonts w:ascii="Times New Roman" w:hAnsi="Times New Roman"/>
        <w:sz w:val="20"/>
        <w:szCs w:val="20"/>
      </w:rPr>
      <w:t>CONSILIUL</w:t>
    </w:r>
    <w:r>
      <w:rPr>
        <w:rFonts w:ascii="Times New Roman" w:hAnsi="Times New Roman"/>
        <w:sz w:val="24"/>
        <w:szCs w:val="24"/>
      </w:rPr>
      <w:t xml:space="preserve"> J</w:t>
    </w:r>
    <w:r>
      <w:rPr>
        <w:rFonts w:ascii="Times New Roman" w:hAnsi="Times New Roman"/>
        <w:sz w:val="20"/>
        <w:szCs w:val="20"/>
      </w:rPr>
      <w:t>UDEȚEAN</w:t>
    </w:r>
    <w:r>
      <w:rPr>
        <w:rFonts w:ascii="Times New Roman" w:hAnsi="Times New Roman"/>
        <w:sz w:val="24"/>
        <w:szCs w:val="24"/>
      </w:rPr>
      <w:t xml:space="preserve"> M</w:t>
    </w:r>
    <w:r>
      <w:rPr>
        <w:rFonts w:ascii="Times New Roman" w:hAnsi="Times New Roman"/>
        <w:sz w:val="20"/>
        <w:szCs w:val="20"/>
      </w:rPr>
      <w:t>UREȘ</w:t>
    </w:r>
    <w:r>
      <w:rPr>
        <w:rFonts w:ascii="Cambria" w:hAnsi="Cambria" w:eastAsia="SimSun"/>
      </w:rPr>
      <w:t xml:space="preserve"> </w:t>
    </w:r>
    <w:r>
      <w:rPr>
        <w:rFonts w:ascii="Cambria" w:hAnsi="Cambria" w:eastAsia="SimSun"/>
      </w:rPr>
      <w:tab/>
    </w:r>
    <w:r>
      <w:rPr>
        <w:rFonts w:ascii="Cambria" w:hAnsi="Cambria" w:eastAsia="SimSun"/>
      </w:rPr>
      <w:tab/>
    </w:r>
  </w:p>
  <w:p>
    <w:pPr>
      <w:tabs>
        <w:tab w:val="center" w:pos="4680"/>
        <w:tab w:val="right" w:pos="9360"/>
      </w:tabs>
      <w:spacing w:after="0" w:line="240" w:lineRule="auto"/>
      <w:rPr>
        <w:rFonts w:ascii="Arial" w:hAnsi="Arial" w:cs="Arial"/>
        <w:b/>
        <w:sz w:val="18"/>
        <w:szCs w:val="18"/>
      </w:rPr>
    </w:pPr>
    <w:r>
      <w:rPr>
        <w:rFonts w:ascii="Arial" w:hAnsi="Arial" w:cs="Arial"/>
        <w:b/>
        <w:sz w:val="18"/>
        <w:szCs w:val="18"/>
      </w:rPr>
      <w:t>Spitalul Clinic Județean Mureș</w:t>
    </w:r>
  </w:p>
  <w:p>
    <w:pPr>
      <w:tabs>
        <w:tab w:val="center" w:pos="4680"/>
        <w:tab w:val="right" w:pos="9360"/>
      </w:tabs>
      <w:spacing w:after="0" w:line="240" w:lineRule="auto"/>
      <w:rPr>
        <w:rFonts w:ascii="Arial" w:hAnsi="Arial" w:cs="Arial"/>
        <w:sz w:val="16"/>
        <w:szCs w:val="16"/>
      </w:rPr>
    </w:pPr>
    <w:r>
      <w:rPr>
        <w:rFonts w:ascii="Arial" w:hAnsi="Arial" w:cs="Arial"/>
        <w:sz w:val="16"/>
        <w:szCs w:val="16"/>
      </w:rPr>
      <w:t>România, 540072 Tîrgu Mureș, județul Mureș, str. Bernády György, nr. 6, Cod Fiscal 24014380</w:t>
    </w:r>
  </w:p>
  <w:p>
    <w:pPr>
      <w:tabs>
        <w:tab w:val="center" w:pos="4680"/>
        <w:tab w:val="right" w:pos="9360"/>
      </w:tabs>
      <w:spacing w:after="0" w:line="240" w:lineRule="auto"/>
      <w:rPr>
        <w:lang w:val="ro-RO"/>
      </w:rPr>
    </w:pPr>
    <w:r>
      <w:rPr>
        <w:rFonts w:ascii="Arial" w:hAnsi="Arial" w:cs="Arial"/>
        <w:sz w:val="16"/>
        <w:szCs w:val="16"/>
      </w:rPr>
      <w:t>Telefon: +40-265-230.000, Fax: +40-265-230.001, e-mail: secretariat@spitaljudeteanmures.ro</w:t>
    </w:r>
  </w:p>
  <w:sdt>
    <w:sdtPr>
      <w:id w:val="-119455432"/>
      <w:docPartObj>
        <w:docPartGallery w:val="AutoText"/>
      </w:docPartObj>
    </w:sdtPr>
    <w:sdtContent>
      <w:p>
        <w:pPr>
          <w:pStyle w:val="3"/>
          <w:jc w:val="right"/>
        </w:pPr>
        <w:r>
          <w:fldChar w:fldCharType="begin"/>
        </w:r>
        <w:r>
          <w:instrText xml:space="preserve"> PAGE   \* MERGEFORMAT </w:instrText>
        </w:r>
        <w:r>
          <w:fldChar w:fldCharType="separate"/>
        </w:r>
        <w:r>
          <w:t>1</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5734050" cy="590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5734050" cy="590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AB3"/>
    <w:rsid w:val="0001414D"/>
    <w:rsid w:val="00074D88"/>
    <w:rsid w:val="00090D9E"/>
    <w:rsid w:val="00093519"/>
    <w:rsid w:val="000A613D"/>
    <w:rsid w:val="000B64B0"/>
    <w:rsid w:val="000F2B6E"/>
    <w:rsid w:val="0014017B"/>
    <w:rsid w:val="00143DE9"/>
    <w:rsid w:val="002143E9"/>
    <w:rsid w:val="0024004B"/>
    <w:rsid w:val="002716A1"/>
    <w:rsid w:val="002D3D7C"/>
    <w:rsid w:val="002F0CC5"/>
    <w:rsid w:val="003017C1"/>
    <w:rsid w:val="00302801"/>
    <w:rsid w:val="00343579"/>
    <w:rsid w:val="00364C56"/>
    <w:rsid w:val="00377D03"/>
    <w:rsid w:val="003C03AB"/>
    <w:rsid w:val="00444562"/>
    <w:rsid w:val="004A5D8F"/>
    <w:rsid w:val="004D07EB"/>
    <w:rsid w:val="004D5F4D"/>
    <w:rsid w:val="004E26AB"/>
    <w:rsid w:val="004E6A18"/>
    <w:rsid w:val="00532A3E"/>
    <w:rsid w:val="00560AEC"/>
    <w:rsid w:val="0057653B"/>
    <w:rsid w:val="00577409"/>
    <w:rsid w:val="00585A50"/>
    <w:rsid w:val="00591542"/>
    <w:rsid w:val="00625999"/>
    <w:rsid w:val="006278C4"/>
    <w:rsid w:val="00632EEE"/>
    <w:rsid w:val="00640A4C"/>
    <w:rsid w:val="00650ED4"/>
    <w:rsid w:val="0067503C"/>
    <w:rsid w:val="006F5215"/>
    <w:rsid w:val="00706590"/>
    <w:rsid w:val="007B43DD"/>
    <w:rsid w:val="007E2F0A"/>
    <w:rsid w:val="007E5558"/>
    <w:rsid w:val="00856D19"/>
    <w:rsid w:val="008B4648"/>
    <w:rsid w:val="008E0378"/>
    <w:rsid w:val="00955E34"/>
    <w:rsid w:val="009A7AEF"/>
    <w:rsid w:val="009E3095"/>
    <w:rsid w:val="00A573D1"/>
    <w:rsid w:val="00A80691"/>
    <w:rsid w:val="00AA25DE"/>
    <w:rsid w:val="00AB09D2"/>
    <w:rsid w:val="00B21A97"/>
    <w:rsid w:val="00B52969"/>
    <w:rsid w:val="00B6183E"/>
    <w:rsid w:val="00BA2F34"/>
    <w:rsid w:val="00BA3C0C"/>
    <w:rsid w:val="00C1372C"/>
    <w:rsid w:val="00CB5AB3"/>
    <w:rsid w:val="00CD0270"/>
    <w:rsid w:val="00CF0B6A"/>
    <w:rsid w:val="00D07219"/>
    <w:rsid w:val="00D157F1"/>
    <w:rsid w:val="00DA2DD6"/>
    <w:rsid w:val="00DB1AAB"/>
    <w:rsid w:val="00DC44A9"/>
    <w:rsid w:val="00DF5DB4"/>
    <w:rsid w:val="00E03A45"/>
    <w:rsid w:val="00E40D84"/>
    <w:rsid w:val="00E54B76"/>
    <w:rsid w:val="00EA3CD2"/>
    <w:rsid w:val="00EB366B"/>
    <w:rsid w:val="00F00BF9"/>
    <w:rsid w:val="00F03274"/>
    <w:rsid w:val="00F05797"/>
    <w:rsid w:val="00F23DFD"/>
    <w:rsid w:val="00F327CC"/>
    <w:rsid w:val="00FA3E0F"/>
    <w:rsid w:val="00FB1F85"/>
    <w:rsid w:val="00FB7944"/>
    <w:rsid w:val="0EA67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pPr>
      <w:spacing w:after="0" w:line="240" w:lineRule="auto"/>
    </w:pPr>
    <w:rPr>
      <w:rFonts w:ascii="Segoe UI" w:hAnsi="Segoe UI" w:cs="Segoe UI"/>
      <w:sz w:val="18"/>
      <w:szCs w:val="18"/>
    </w:rPr>
  </w:style>
  <w:style w:type="paragraph" w:styleId="3">
    <w:name w:val="footer"/>
    <w:basedOn w:val="1"/>
    <w:link w:val="9"/>
    <w:unhideWhenUsed/>
    <w:qFormat/>
    <w:uiPriority w:val="99"/>
    <w:pPr>
      <w:tabs>
        <w:tab w:val="center" w:pos="4680"/>
        <w:tab w:val="right" w:pos="9360"/>
      </w:tabs>
      <w:spacing w:after="0" w:line="240" w:lineRule="auto"/>
    </w:pPr>
  </w:style>
  <w:style w:type="paragraph" w:styleId="4">
    <w:name w:val="header"/>
    <w:basedOn w:val="1"/>
    <w:link w:val="8"/>
    <w:unhideWhenUsed/>
    <w:uiPriority w:val="99"/>
    <w:pPr>
      <w:tabs>
        <w:tab w:val="center" w:pos="4680"/>
        <w:tab w:val="right" w:pos="9360"/>
      </w:tabs>
      <w:spacing w:after="0" w:line="240" w:lineRule="auto"/>
    </w:pPr>
  </w:style>
  <w:style w:type="paragraph" w:customStyle="1" w:styleId="7">
    <w:name w:val="Default"/>
    <w:uiPriority w:val="0"/>
    <w:pPr>
      <w:autoSpaceDE w:val="0"/>
      <w:autoSpaceDN w:val="0"/>
      <w:adjustRightInd w:val="0"/>
      <w:spacing w:after="0" w:line="240" w:lineRule="auto"/>
    </w:pPr>
    <w:rPr>
      <w:rFonts w:ascii="Arial" w:hAnsi="Arial" w:cs="Arial" w:eastAsiaTheme="minorHAnsi"/>
      <w:color w:val="000000"/>
      <w:sz w:val="24"/>
      <w:szCs w:val="24"/>
      <w:lang w:val="en-US" w:eastAsia="en-US" w:bidi="ar-SA"/>
    </w:rPr>
  </w:style>
  <w:style w:type="character" w:customStyle="1" w:styleId="8">
    <w:name w:val="Header Char"/>
    <w:basedOn w:val="5"/>
    <w:link w:val="4"/>
    <w:uiPriority w:val="99"/>
  </w:style>
  <w:style w:type="character" w:customStyle="1" w:styleId="9">
    <w:name w:val="Footer Char"/>
    <w:basedOn w:val="5"/>
    <w:link w:val="3"/>
    <w:qFormat/>
    <w:uiPriority w:val="99"/>
  </w:style>
  <w:style w:type="character" w:customStyle="1" w:styleId="10">
    <w:name w:val="Balloon Text Char"/>
    <w:basedOn w:val="5"/>
    <w:link w:val="2"/>
    <w:semiHidden/>
    <w:qFormat/>
    <w:uiPriority w:val="99"/>
    <w:rPr>
      <w:rFonts w:ascii="Segoe UI" w:hAnsi="Segoe UI" w:cs="Segoe UI"/>
      <w:sz w:val="18"/>
      <w:szCs w:val="18"/>
    </w:rPr>
  </w:style>
  <w:style w:type="character" w:customStyle="1" w:styleId="11">
    <w:name w:val="l5tlu1"/>
    <w:basedOn w:val="5"/>
    <w:uiPriority w:val="0"/>
    <w:rPr>
      <w:b/>
      <w:bCs/>
      <w:color w:val="000000"/>
      <w:sz w:val="32"/>
      <w:szCs w:val="32"/>
    </w:rPr>
  </w:style>
  <w:style w:type="character" w:customStyle="1" w:styleId="12">
    <w:name w:val="l5def1"/>
    <w:basedOn w:val="5"/>
    <w:uiPriority w:val="0"/>
    <w:rPr>
      <w:rFonts w:hint="default" w:ascii="Arial" w:hAnsi="Arial" w:cs="Arial"/>
      <w:color w:val="000000"/>
      <w:sz w:val="26"/>
      <w:szCs w:val="26"/>
    </w:rPr>
  </w:style>
  <w:style w:type="paragraph" w:customStyle="1" w:styleId="13">
    <w:name w:val="Caracter Caracter2 Char Char Caracter Caracter Char Char Caracter Caracter Char Char Caracter Caracter Char Char Caracter Caracter"/>
    <w:basedOn w:val="1"/>
    <w:qFormat/>
    <w:uiPriority w:val="0"/>
    <w:pPr>
      <w:spacing w:after="0" w:line="240" w:lineRule="auto"/>
    </w:pPr>
    <w:rPr>
      <w:rFonts w:ascii="Arial" w:hAnsi="Arial" w:eastAsia="Times New Roman" w:cs="Arial"/>
      <w:sz w:val="24"/>
      <w:szCs w:val="24"/>
      <w:lang w:val="pl-PL" w:eastAsia="pl-P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814</Words>
  <Characters>4645</Characters>
  <Lines>38</Lines>
  <Paragraphs>10</Paragraphs>
  <TotalTime>3</TotalTime>
  <ScaleCrop>false</ScaleCrop>
  <LinksUpToDate>false</LinksUpToDate>
  <CharactersWithSpaces>5449</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2019-04-11T08:35:00Z</dcterms:created>
  <dc:creator>Contabilitate Sef</dc:creator>
  <cp:lastModifiedBy>alina.moldovan</cp:lastModifiedBy>
  <cp:lastPrinted>2021-08-18T07:37:00Z</cp:lastPrinted>
  <dcterms:modified xsi:type="dcterms:W3CDTF">2021-09-01T06:10:46Z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