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Subsemnatul(a)_____________________________________________, domiciliat(ă) în loc.____________________ str.____________________nr._____</w:t>
      </w:r>
      <w:bookmarkStart w:id="0" w:name="_GoBack"/>
      <w:bookmarkEnd w:id="0"/>
      <w:r>
        <w:rPr>
          <w:sz w:val="28"/>
          <w:szCs w:val="28"/>
        </w:rPr>
        <w:t xml:space="preserve">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b/>
          <w:bCs/>
          <w:sz w:val="28"/>
          <w:szCs w:val="28"/>
          <w:lang w:val="ro-RO"/>
        </w:rPr>
        <w:t>asistent medical generalist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>11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21 -03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o-RO"/>
        </w:rPr>
        <w:t>12</w:t>
      </w:r>
      <w:r>
        <w:rPr>
          <w:rFonts w:hint="default"/>
          <w:b/>
          <w:sz w:val="28"/>
          <w:szCs w:val="28"/>
          <w:lang w:val="ro-RO"/>
        </w:rPr>
        <w:t>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12CF62C6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10</TotalTime>
  <ScaleCrop>false</ScaleCrop>
  <LinksUpToDate>false</LinksUpToDate>
  <CharactersWithSpaces>1619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2021-03-10T06:14:00Z</cp:lastPrinted>
  <dcterms:modified xsi:type="dcterms:W3CDTF">2021-10-28T11:08:52Z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